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535"/>
        <w:gridCol w:w="4164"/>
        <w:gridCol w:w="2379"/>
        <w:gridCol w:w="3578"/>
      </w:tblGrid>
      <w:tr w:rsidR="00342685" w:rsidRPr="00391DE7" w:rsidTr="00C725EF">
        <w:tc>
          <w:tcPr>
            <w:tcW w:w="15276" w:type="dxa"/>
            <w:gridSpan w:val="5"/>
          </w:tcPr>
          <w:p w:rsidR="00342685" w:rsidRPr="00391DE7" w:rsidRDefault="00F85F5B" w:rsidP="00C725EF">
            <w:pPr>
              <w:suppressAutoHyphens/>
              <w:ind w:right="-60"/>
              <w:jc w:val="center"/>
            </w:pPr>
            <w:r>
              <w:rPr>
                <w:b/>
              </w:rPr>
              <w:t>Отчет о работе</w:t>
            </w:r>
            <w:r w:rsidR="00342685" w:rsidRPr="00991E0C">
              <w:rPr>
                <w:b/>
              </w:rPr>
              <w:t xml:space="preserve"> Референс-центра по мониторингу за возбудителем бруцеллеза</w:t>
            </w:r>
            <w:r>
              <w:rPr>
                <w:b/>
              </w:rPr>
              <w:t xml:space="preserve"> в 2017 г.</w:t>
            </w:r>
            <w:bookmarkStart w:id="0" w:name="_GoBack"/>
            <w:bookmarkEnd w:id="0"/>
          </w:p>
        </w:tc>
      </w:tr>
      <w:tr w:rsidR="00342685" w:rsidRPr="0097571A" w:rsidTr="00C725EF">
        <w:tc>
          <w:tcPr>
            <w:tcW w:w="620" w:type="dxa"/>
          </w:tcPr>
          <w:p w:rsidR="00342685" w:rsidRPr="00342685" w:rsidRDefault="00342685" w:rsidP="00342685">
            <w:pPr>
              <w:suppressAutoHyphens/>
            </w:pPr>
            <w:r>
              <w:t>№ п/п</w:t>
            </w:r>
          </w:p>
        </w:tc>
        <w:tc>
          <w:tcPr>
            <w:tcW w:w="4535" w:type="dxa"/>
          </w:tcPr>
          <w:p w:rsidR="00342685" w:rsidRPr="00E646DC" w:rsidRDefault="00342685" w:rsidP="00C725EF">
            <w:pPr>
              <w:suppressAutoHyphens/>
              <w:ind w:right="-60"/>
              <w:jc w:val="center"/>
              <w:rPr>
                <w:b/>
              </w:rPr>
            </w:pPr>
            <w:r w:rsidRPr="00E646DC">
              <w:rPr>
                <w:b/>
              </w:rPr>
              <w:t>Наименование мероприятия</w:t>
            </w:r>
          </w:p>
          <w:p w:rsidR="00342685" w:rsidRPr="00E646DC" w:rsidRDefault="00342685" w:rsidP="00C725EF">
            <w:pPr>
              <w:suppressAutoHyphens/>
              <w:ind w:right="-60"/>
              <w:jc w:val="center"/>
            </w:pPr>
          </w:p>
        </w:tc>
        <w:tc>
          <w:tcPr>
            <w:tcW w:w="4164" w:type="dxa"/>
          </w:tcPr>
          <w:p w:rsidR="00342685" w:rsidRPr="00E646DC" w:rsidRDefault="00342685" w:rsidP="00C725EF">
            <w:pPr>
              <w:suppressAutoHyphens/>
              <w:ind w:right="-60"/>
              <w:jc w:val="center"/>
              <w:rPr>
                <w:b/>
              </w:rPr>
            </w:pPr>
            <w:r w:rsidRPr="00E646DC">
              <w:rPr>
                <w:b/>
              </w:rPr>
              <w:t xml:space="preserve">Полученные результаты </w:t>
            </w:r>
            <w:r w:rsidRPr="00E646DC">
              <w:rPr>
                <w:b/>
              </w:rPr>
              <w:br/>
            </w:r>
            <w:r w:rsidRPr="00E646DC">
              <w:t>(краткая  аннотация)</w:t>
            </w:r>
          </w:p>
        </w:tc>
        <w:tc>
          <w:tcPr>
            <w:tcW w:w="2379" w:type="dxa"/>
          </w:tcPr>
          <w:p w:rsidR="00342685" w:rsidRPr="00E646DC" w:rsidRDefault="00342685" w:rsidP="00C725EF">
            <w:pPr>
              <w:suppressAutoHyphens/>
              <w:ind w:right="-60"/>
              <w:jc w:val="center"/>
              <w:rPr>
                <w:b/>
              </w:rPr>
            </w:pPr>
            <w:r w:rsidRPr="00E646DC">
              <w:rPr>
                <w:b/>
              </w:rPr>
              <w:t xml:space="preserve">Срок исполнения </w:t>
            </w:r>
            <w:r w:rsidRPr="00E646DC">
              <w:rPr>
                <w:b/>
              </w:rPr>
              <w:br/>
            </w:r>
            <w:r w:rsidRPr="00E646DC">
              <w:t>(месяц)</w:t>
            </w:r>
          </w:p>
        </w:tc>
        <w:tc>
          <w:tcPr>
            <w:tcW w:w="3578" w:type="dxa"/>
          </w:tcPr>
          <w:p w:rsidR="00342685" w:rsidRPr="00E646DC" w:rsidRDefault="00342685" w:rsidP="00C725EF">
            <w:pPr>
              <w:suppressAutoHyphens/>
              <w:ind w:right="-60"/>
              <w:jc w:val="center"/>
              <w:rPr>
                <w:b/>
              </w:rPr>
            </w:pPr>
            <w:r w:rsidRPr="00E646DC">
              <w:rPr>
                <w:b/>
              </w:rPr>
              <w:t>Исполнители/</w:t>
            </w:r>
          </w:p>
          <w:p w:rsidR="00342685" w:rsidRPr="00342685" w:rsidRDefault="00342685" w:rsidP="00342685"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646DC">
              <w:rPr>
                <w:b/>
              </w:rPr>
              <w:t>оисполнители</w:t>
            </w:r>
            <w:r>
              <w:rPr>
                <w:b/>
              </w:rPr>
              <w:t xml:space="preserve">, 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5C7F0C">
            <w:pPr>
              <w:rPr>
                <w:kern w:val="28"/>
              </w:rPr>
            </w:pPr>
            <w:r>
              <w:rPr>
                <w:kern w:val="28"/>
              </w:rPr>
              <w:t>Подготовка отчета за 2016</w:t>
            </w:r>
            <w:r w:rsidRPr="00A77477">
              <w:rPr>
                <w:kern w:val="28"/>
              </w:rPr>
              <w:t xml:space="preserve"> г. и плана работы </w:t>
            </w:r>
            <w:r w:rsidRPr="00A77477">
              <w:t>Референс-центра по мониторингу за</w:t>
            </w:r>
            <w:r>
              <w:t xml:space="preserve"> возбудителем бруцеллеза на 2017</w:t>
            </w:r>
            <w:r w:rsidRPr="00A77477">
              <w:t xml:space="preserve"> г.</w:t>
            </w:r>
            <w:r>
              <w:t xml:space="preserve"> </w:t>
            </w:r>
            <w:r w:rsidRPr="00F17EB0">
              <w:t>(по плану)</w:t>
            </w:r>
          </w:p>
        </w:tc>
        <w:tc>
          <w:tcPr>
            <w:tcW w:w="4164" w:type="dxa"/>
          </w:tcPr>
          <w:p w:rsidR="00342685" w:rsidRPr="00A77477" w:rsidRDefault="00342685" w:rsidP="005C7F0C">
            <w:pPr>
              <w:ind w:left="-57" w:right="-57"/>
            </w:pPr>
            <w:r>
              <w:t>Отчет о работе за 2016 г., план работы на 2017</w:t>
            </w:r>
            <w:r w:rsidRPr="00A77477">
              <w:t xml:space="preserve"> г.</w:t>
            </w:r>
          </w:p>
        </w:tc>
        <w:tc>
          <w:tcPr>
            <w:tcW w:w="2379" w:type="dxa"/>
          </w:tcPr>
          <w:p w:rsidR="00342685" w:rsidRDefault="00342685" w:rsidP="005C7F0C">
            <w:pPr>
              <w:suppressAutoHyphens/>
              <w:ind w:right="-60"/>
              <w:jc w:val="center"/>
            </w:pPr>
            <w:r>
              <w:t>Январь</w:t>
            </w:r>
          </w:p>
          <w:p w:rsidR="00342685" w:rsidRPr="0053392E" w:rsidRDefault="00342685" w:rsidP="005C7F0C">
            <w:pPr>
              <w:ind w:firstLine="708"/>
            </w:pPr>
          </w:p>
        </w:tc>
        <w:tc>
          <w:tcPr>
            <w:tcW w:w="3578" w:type="dxa"/>
          </w:tcPr>
          <w:p w:rsidR="00342685" w:rsidRPr="00342685" w:rsidRDefault="00342685" w:rsidP="00342685">
            <w:pPr>
              <w:suppressAutoHyphens/>
              <w:ind w:right="-60"/>
              <w:jc w:val="both"/>
            </w:pPr>
            <w:r w:rsidRPr="00342685">
              <w:t>Лаборатория бруцеллеза</w:t>
            </w:r>
          </w:p>
        </w:tc>
      </w:tr>
      <w:tr w:rsidR="00342685" w:rsidRPr="00391DE7" w:rsidTr="00C725EF">
        <w:trPr>
          <w:trHeight w:val="2519"/>
        </w:trPr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>
              <w:t xml:space="preserve">Подготовка информационного </w:t>
            </w:r>
            <w:r w:rsidRPr="00A77477">
              <w:t>п</w:t>
            </w:r>
            <w:r>
              <w:t>исьма</w:t>
            </w:r>
            <w:r w:rsidRPr="00A77477">
              <w:t xml:space="preserve"> </w:t>
            </w:r>
          </w:p>
          <w:p w:rsidR="00342685" w:rsidRPr="00A77477" w:rsidRDefault="00342685" w:rsidP="00C725EF">
            <w:r w:rsidRPr="00A77477">
              <w:t>«Обзор эпидемиологической ситуации по бруцеллезу в Российской Феде</w:t>
            </w:r>
            <w:r>
              <w:t xml:space="preserve">рации в 2016 году и прогноз на </w:t>
            </w:r>
            <w:r w:rsidRPr="00A77477">
              <w:t xml:space="preserve">2017 год» </w:t>
            </w:r>
            <w:r>
              <w:t>(по плану)</w:t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ind w:left="34"/>
            </w:pPr>
            <w:r w:rsidRPr="00A77477">
              <w:t>Документы направлены Роспотре</w:t>
            </w:r>
            <w:r>
              <w:t>б</w:t>
            </w:r>
            <w:r w:rsidRPr="00A77477">
              <w:t>надзором в Управления Роспотребнадзора по субъектам РФ, ПЧУ (</w:t>
            </w:r>
            <w:r w:rsidRPr="00A77477">
              <w:rPr>
                <w:bCs/>
              </w:rPr>
              <w:t xml:space="preserve">Письмо Роспотребнадзора </w:t>
            </w:r>
            <w:r w:rsidRPr="00A77477">
              <w:t>№ 01/2370-17-32 от 22.02.2017 г.</w:t>
            </w:r>
            <w:r>
              <w:t>)</w:t>
            </w:r>
          </w:p>
          <w:p w:rsidR="00342685" w:rsidRPr="00A77477" w:rsidRDefault="00342685" w:rsidP="00C725EF">
            <w:r>
              <w:t>Представлен анализ эпизоотолого-эпидемиологической ситуации по бруцеллёзу в Российской Федерации, дан прогноз эпидобстановки в 2018 г.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Февраль</w:t>
            </w: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</w:tc>
        <w:tc>
          <w:tcPr>
            <w:tcW w:w="3578" w:type="dxa"/>
          </w:tcPr>
          <w:p w:rsidR="00342685" w:rsidRPr="00391DE7" w:rsidRDefault="00342685" w:rsidP="00C725EF">
            <w:pPr>
              <w:suppressAutoHyphens/>
              <w:ind w:right="-60"/>
            </w:pPr>
            <w:r w:rsidRPr="00342685">
              <w:t>Лаборатория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Default="00342685" w:rsidP="00C725EF">
            <w:r>
              <w:t>Подготовка аналитической статьи</w:t>
            </w:r>
            <w:r w:rsidRPr="00A77477">
              <w:t xml:space="preserve"> «Об эпизоотолого-эпидемиологической ситуации по бруцеллезу</w:t>
            </w:r>
            <w:r>
              <w:t xml:space="preserve"> </w:t>
            </w:r>
            <w:r w:rsidRPr="00A77477">
              <w:t xml:space="preserve">в Российской Федерации в 2016 г. и прогноз на 2017 г.» </w:t>
            </w:r>
          </w:p>
          <w:p w:rsidR="00342685" w:rsidRPr="00A77477" w:rsidRDefault="00342685" w:rsidP="00C725EF">
            <w:r>
              <w:t>(по плану)</w:t>
            </w:r>
          </w:p>
        </w:tc>
        <w:tc>
          <w:tcPr>
            <w:tcW w:w="4164" w:type="dxa"/>
          </w:tcPr>
          <w:p w:rsidR="00342685" w:rsidRDefault="00342685" w:rsidP="00C725EF">
            <w:pPr>
              <w:ind w:left="34"/>
            </w:pPr>
            <w:r w:rsidRPr="00A77477">
              <w:t xml:space="preserve">Статья опубликована в научно-практическом журнале «Проблемы особо опасных инфекций» </w:t>
            </w:r>
          </w:p>
          <w:p w:rsidR="00342685" w:rsidRPr="00A77477" w:rsidRDefault="00342685" w:rsidP="00C725EF">
            <w:pPr>
              <w:ind w:left="34"/>
            </w:pPr>
            <w:r w:rsidRPr="00A77477">
              <w:t>№ 2 (2017</w:t>
            </w:r>
            <w:r>
              <w:t xml:space="preserve"> </w:t>
            </w:r>
            <w:r w:rsidRPr="00A77477">
              <w:t>г.)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Апрель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</w:pPr>
            <w:r w:rsidRPr="00342685">
              <w:t>Лаборатория бруцеллеза</w:t>
            </w:r>
            <w:r>
              <w:t>, лаборатория эпидемиологии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>
              <w:t>Подготовка</w:t>
            </w:r>
            <w:r w:rsidRPr="00A77477">
              <w:t xml:space="preserve"> </w:t>
            </w:r>
            <w:r>
              <w:t>информационного письма</w:t>
            </w:r>
            <w:r w:rsidRPr="00A77477">
              <w:t xml:space="preserve"> «Перечень диагностических препаратов, тест-систем, питательных сред, предназначенных для использования при проведении лабораторной диагностики бруцеллёза у лю</w:t>
            </w:r>
            <w:r>
              <w:t>дей», (по плану)</w:t>
            </w:r>
            <w:r w:rsidRPr="00A77477">
              <w:tab/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suppressAutoHyphens/>
              <w:ind w:right="-60"/>
              <w:rPr>
                <w:bCs/>
              </w:rPr>
            </w:pPr>
            <w:r w:rsidRPr="00A77477">
              <w:t>Повышение информированности специалистов учреждений Роспотребнадзора субъектов РФ о МИБП для диагностики бруцеллеза</w:t>
            </w:r>
            <w:r w:rsidRPr="00A77477">
              <w:rPr>
                <w:bCs/>
              </w:rPr>
              <w:t xml:space="preserve"> </w:t>
            </w:r>
          </w:p>
          <w:p w:rsidR="00342685" w:rsidRPr="00245B3D" w:rsidRDefault="00342685" w:rsidP="00C725EF">
            <w:pPr>
              <w:suppressAutoHyphens/>
              <w:ind w:right="-60"/>
              <w:rPr>
                <w:bCs/>
              </w:rPr>
            </w:pPr>
            <w:r w:rsidRPr="00A77477">
              <w:rPr>
                <w:bCs/>
              </w:rPr>
              <w:t>(исх. № 03-07-</w:t>
            </w:r>
            <w:r>
              <w:rPr>
                <w:bCs/>
              </w:rPr>
              <w:t>752</w:t>
            </w:r>
            <w:r w:rsidRPr="00A77477">
              <w:rPr>
                <w:bCs/>
              </w:rPr>
              <w:t xml:space="preserve"> от </w:t>
            </w:r>
            <w:r>
              <w:rPr>
                <w:bCs/>
              </w:rPr>
              <w:t>02</w:t>
            </w:r>
            <w:r w:rsidRPr="00A77477">
              <w:rPr>
                <w:bCs/>
              </w:rPr>
              <w:t>.05.201</w:t>
            </w:r>
            <w:r>
              <w:rPr>
                <w:bCs/>
              </w:rPr>
              <w:t>7</w:t>
            </w:r>
            <w:r w:rsidRPr="00A77477">
              <w:rPr>
                <w:bCs/>
              </w:rPr>
              <w:t xml:space="preserve"> г.)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Май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F443A2" w:rsidRDefault="00342685" w:rsidP="00C725EF">
            <w:r>
              <w:t>Подготовка</w:t>
            </w:r>
            <w:r w:rsidRPr="00F443A2">
              <w:t xml:space="preserve"> </w:t>
            </w:r>
            <w:r>
              <w:t>информационного бюллетеня</w:t>
            </w:r>
            <w:r w:rsidRPr="00F443A2">
              <w:t xml:space="preserve"> «Бруцеллез в Российской </w:t>
            </w:r>
            <w:r>
              <w:t>Федерации в 2016 г.» (по плану)</w:t>
            </w:r>
          </w:p>
        </w:tc>
        <w:tc>
          <w:tcPr>
            <w:tcW w:w="4164" w:type="dxa"/>
          </w:tcPr>
          <w:p w:rsidR="00342685" w:rsidRPr="00F443A2" w:rsidRDefault="00342685" w:rsidP="00C725EF">
            <w:r w:rsidRPr="00F443A2">
              <w:t xml:space="preserve"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бруцеллезом (исх. № </w:t>
            </w:r>
            <w:r w:rsidRPr="00F443A2">
              <w:lastRenderedPageBreak/>
              <w:t>03-05-890 от 24.05.2017 г.)</w:t>
            </w:r>
          </w:p>
        </w:tc>
        <w:tc>
          <w:tcPr>
            <w:tcW w:w="2379" w:type="dxa"/>
          </w:tcPr>
          <w:p w:rsidR="00342685" w:rsidRDefault="00342685" w:rsidP="00C725EF">
            <w:pPr>
              <w:jc w:val="center"/>
            </w:pPr>
            <w:r w:rsidRPr="00F443A2">
              <w:lastRenderedPageBreak/>
              <w:t>Май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  <w:r>
              <w:t>, лаборатория эпидемиологии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>
              <w:t>Подготовка</w:t>
            </w:r>
            <w:r w:rsidRPr="00A77477">
              <w:t xml:space="preserve"> </w:t>
            </w:r>
            <w:r>
              <w:t>аналитических материалов</w:t>
            </w:r>
            <w:r w:rsidRPr="00A77477">
              <w:t xml:space="preserve"> по заболеваемости бруце</w:t>
            </w:r>
            <w:r>
              <w:t xml:space="preserve">ллезом в период 1995-2016 гг., </w:t>
            </w:r>
            <w:r w:rsidRPr="00A77477">
              <w:t>состоянию лабораторной диагностики и специфической профилактики бруцеллеза в Российско</w:t>
            </w:r>
            <w:r>
              <w:t xml:space="preserve">й Федерации за последние 5 лет </w:t>
            </w:r>
            <w:r w:rsidRPr="00A77477">
              <w:t>(вне плана)</w:t>
            </w:r>
          </w:p>
        </w:tc>
        <w:tc>
          <w:tcPr>
            <w:tcW w:w="4164" w:type="dxa"/>
          </w:tcPr>
          <w:p w:rsidR="00342685" w:rsidRPr="00A77477" w:rsidRDefault="00342685" w:rsidP="00C725EF">
            <w:r w:rsidRPr="00A77477">
              <w:t>Подготовка доклада руководителя Роспотребнадзора на XI съезде ВНПОЭМП по разделу «Бруцеллез».</w:t>
            </w:r>
          </w:p>
          <w:p w:rsidR="00342685" w:rsidRPr="00A77477" w:rsidRDefault="00342685" w:rsidP="00C725EF"/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Июнь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suppressAutoHyphens/>
              <w:ind w:right="-60"/>
            </w:pPr>
            <w:r>
              <w:t>Проведение лабораторных исследований</w:t>
            </w:r>
            <w:r w:rsidRPr="00A77477">
              <w:t xml:space="preserve"> контрольных образцов на наличие (отсутствие) антител к возбудителю бруцеллеза в рамках Программы межлабораторных сравнительных испытаний «ОК 1В08/17» </w:t>
            </w:r>
            <w:r>
              <w:t>(по плану)</w:t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suppressAutoHyphens/>
              <w:ind w:right="-60"/>
            </w:pPr>
            <w:r w:rsidRPr="00A77477">
              <w:t>Соответствие результатов лабораторного исследования контрольной пробы фактическому наличию АТ.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Июнь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</w:p>
        </w:tc>
      </w:tr>
      <w:tr w:rsidR="00342685" w:rsidRPr="0006126C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 w:rsidRPr="00A77477">
              <w:t>Повышение квалификаци</w:t>
            </w:r>
            <w:r>
              <w:t xml:space="preserve">и специалистов Референс-центра </w:t>
            </w:r>
            <w:r w:rsidRPr="00A77477">
              <w:t>(по пл</w:t>
            </w:r>
            <w:r>
              <w:t>ану)</w:t>
            </w:r>
          </w:p>
          <w:p w:rsidR="00342685" w:rsidRPr="00A77477" w:rsidRDefault="00342685" w:rsidP="00C725EF"/>
        </w:tc>
        <w:tc>
          <w:tcPr>
            <w:tcW w:w="4164" w:type="dxa"/>
          </w:tcPr>
          <w:p w:rsidR="00342685" w:rsidRPr="00A77477" w:rsidRDefault="00342685" w:rsidP="00C725EF">
            <w:r w:rsidRPr="00A77477">
              <w:t>Прошли обучение на курсах повыше</w:t>
            </w:r>
            <w:r>
              <w:t xml:space="preserve">ния квалификации по программам: </w:t>
            </w:r>
            <w:r w:rsidRPr="00A77477">
              <w:t>«Бактериология. Инфекционные болезни, требующие проведения мероприятий по санитарной охране территории РФ» (</w:t>
            </w:r>
            <w:r>
              <w:t>27</w:t>
            </w:r>
            <w:r w:rsidRPr="00A77477">
              <w:t xml:space="preserve"> специалиста Референс-центра)</w:t>
            </w:r>
            <w:r>
              <w:t>, «Эпидемиология»</w:t>
            </w:r>
            <w:r w:rsidRPr="00480290">
              <w:t>. Инфекционные болезни, требующие проведения мероприятий по санитарной охране территории РФ» (</w:t>
            </w:r>
            <w:r>
              <w:t>5</w:t>
            </w:r>
            <w:r w:rsidRPr="00480290">
              <w:t xml:space="preserve"> специалиста Референс-центра)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jc w:val="center"/>
            </w:pPr>
            <w:r w:rsidRPr="00A77477">
              <w:t>Май-ноябрь</w:t>
            </w:r>
          </w:p>
          <w:p w:rsidR="00342685" w:rsidRPr="00A77477" w:rsidRDefault="00342685" w:rsidP="00C725EF">
            <w:pPr>
              <w:jc w:val="center"/>
            </w:pPr>
          </w:p>
        </w:tc>
        <w:tc>
          <w:tcPr>
            <w:tcW w:w="3578" w:type="dxa"/>
          </w:tcPr>
          <w:p w:rsidR="00342685" w:rsidRDefault="00342685" w:rsidP="00C725EF">
            <w:r w:rsidRPr="00342685">
              <w:t>Лаборатория</w:t>
            </w:r>
            <w:r>
              <w:t xml:space="preserve"> подготовки специалистов,</w:t>
            </w:r>
          </w:p>
          <w:p w:rsidR="00342685" w:rsidRPr="0006126C" w:rsidRDefault="00342685" w:rsidP="00C725EF">
            <w:pPr>
              <w:rPr>
                <w:bCs/>
              </w:rPr>
            </w:pPr>
            <w:r>
              <w:t>л</w:t>
            </w:r>
            <w:r w:rsidRPr="00342685">
              <w:t>аборатория бруцеллеза</w:t>
            </w:r>
            <w:r>
              <w:t>, лаборатория эпидемиологии</w:t>
            </w:r>
          </w:p>
        </w:tc>
      </w:tr>
      <w:tr w:rsidR="00342685" w:rsidRPr="00A77477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suppressAutoHyphens/>
              <w:ind w:right="-60"/>
            </w:pPr>
            <w:r>
              <w:t>Проведение курсов</w:t>
            </w:r>
            <w:r w:rsidRPr="00A77477">
              <w:t xml:space="preserve"> повышения  квалификации по программам «Бактериология. Инфекционные болезни, требующие проведения мероприятий по санитарной охране территории РФ», «Эпидемиология. Инфекционные болезни, требующие проведения мероприятий по санитарной охране </w:t>
            </w:r>
            <w:r w:rsidRPr="00A77477">
              <w:lastRenderedPageBreak/>
              <w:t>территории РФ» «Лабораторная диагностика инф</w:t>
            </w:r>
            <w:r>
              <w:t>екционных болезней», (по плану)</w:t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suppressAutoHyphens/>
              <w:ind w:right="-60"/>
            </w:pPr>
            <w:r w:rsidRPr="00A77477">
              <w:lastRenderedPageBreak/>
              <w:t>Повышение уровня профессиональной подготовки специалистов учреждений Роспотребнадзора по разделу «Бруцеллез».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Октябрь-ноябрь</w:t>
            </w:r>
          </w:p>
        </w:tc>
        <w:tc>
          <w:tcPr>
            <w:tcW w:w="3578" w:type="dxa"/>
          </w:tcPr>
          <w:p w:rsidR="00342685" w:rsidRDefault="00342685" w:rsidP="00342685">
            <w:r w:rsidRPr="00342685">
              <w:t>Лаборатория</w:t>
            </w:r>
            <w:r>
              <w:t xml:space="preserve"> подготовки специалистов,</w:t>
            </w:r>
          </w:p>
          <w:p w:rsidR="00342685" w:rsidRPr="00A77477" w:rsidRDefault="00342685" w:rsidP="00342685">
            <w:r>
              <w:t>л</w:t>
            </w:r>
            <w:r w:rsidRPr="00342685">
              <w:t>аборатория бруцеллеза</w:t>
            </w:r>
            <w:r>
              <w:t>, лаборатория эпидемиологии</w:t>
            </w:r>
            <w:r w:rsidRPr="00A77477">
              <w:t xml:space="preserve"> 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 w:rsidRPr="00A77477">
              <w:t>Консультации специалистов в режиме оперативной связи: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t>- Управления Роспотребнадзора по Тамбовской области;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t>- Управления Роспотребнадзора по Республике Саха (Якутия);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t>- Управления Роспотребнадзора по Липецкой области и ФБУЗ Центр гигиены и эпидемиологии в Липецкой области;</w:t>
            </w:r>
          </w:p>
          <w:p w:rsidR="00342685" w:rsidRPr="00A77477" w:rsidRDefault="00342685" w:rsidP="00C725EF"/>
          <w:p w:rsidR="00342685" w:rsidRPr="00A77477" w:rsidRDefault="00342685" w:rsidP="00C725EF"/>
          <w:p w:rsidR="00342685" w:rsidRPr="00A77477" w:rsidRDefault="00342685" w:rsidP="00C725EF">
            <w:r w:rsidRPr="00A77477">
              <w:t>- Управления Роспотребнадзора по Хабаровскому краю и Управления Роспотребнадзора по Новгородской области;</w:t>
            </w:r>
          </w:p>
          <w:p w:rsidR="00342685" w:rsidRPr="00A77477" w:rsidRDefault="00342685" w:rsidP="00C725EF">
            <w:r w:rsidRPr="00A77477">
              <w:t>- ФБУЗ Центр гигиены и эпидемиологии в Тамбовской области;</w:t>
            </w:r>
          </w:p>
          <w:p w:rsidR="00342685" w:rsidRPr="00A77477" w:rsidRDefault="00342685" w:rsidP="00C725EF">
            <w:r w:rsidRPr="00A77477">
              <w:t>(по плану)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t>- ГКУ СК «Ставропольская краевая станция по борьбе с болезнями животных»</w:t>
            </w:r>
          </w:p>
          <w:p w:rsidR="00342685" w:rsidRPr="00A77477" w:rsidRDefault="00342685" w:rsidP="00C725EF">
            <w:r w:rsidRPr="00A77477">
              <w:t>(по плану)</w:t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ind w:left="34"/>
            </w:pPr>
            <w:r w:rsidRPr="00A77477">
              <w:t xml:space="preserve">Даны разъяснения по вопросам: </w:t>
            </w:r>
          </w:p>
          <w:p w:rsidR="00342685" w:rsidRPr="00A77477" w:rsidRDefault="00342685" w:rsidP="00C725EF">
            <w:pPr>
              <w:ind w:left="34"/>
            </w:pPr>
          </w:p>
          <w:p w:rsidR="00342685" w:rsidRPr="00A77477" w:rsidRDefault="00342685" w:rsidP="00C725EF">
            <w:pPr>
              <w:ind w:left="34"/>
            </w:pPr>
          </w:p>
          <w:p w:rsidR="00342685" w:rsidRPr="00A77477" w:rsidRDefault="00342685" w:rsidP="00C725EF">
            <w:pPr>
              <w:ind w:left="34"/>
            </w:pPr>
            <w:r w:rsidRPr="00A77477">
              <w:t>- организации специфической профилактики бруцеллеза в эпизоотическом очаге инфекции.</w:t>
            </w:r>
          </w:p>
          <w:p w:rsidR="00342685" w:rsidRPr="00A77477" w:rsidRDefault="00342685" w:rsidP="00C725EF">
            <w:pPr>
              <w:ind w:left="34"/>
            </w:pPr>
            <w:r w:rsidRPr="00A77477">
              <w:t>- интерпретации результатов лабораторных исследований клинического материала на бруцеллез;</w:t>
            </w:r>
          </w:p>
          <w:p w:rsidR="00342685" w:rsidRDefault="00342685" w:rsidP="00C725EF">
            <w:pPr>
              <w:ind w:left="34"/>
            </w:pPr>
            <w:r w:rsidRPr="00A77477">
              <w:t>- вакцинации декретированного контингента</w:t>
            </w:r>
            <w:r>
              <w:t>;</w:t>
            </w:r>
          </w:p>
          <w:p w:rsidR="00342685" w:rsidRDefault="00342685" w:rsidP="00C725EF">
            <w:pPr>
              <w:ind w:left="34"/>
            </w:pPr>
          </w:p>
          <w:p w:rsidR="00342685" w:rsidRDefault="00342685" w:rsidP="00C725EF">
            <w:pPr>
              <w:ind w:left="34"/>
            </w:pPr>
          </w:p>
          <w:p w:rsidR="00342685" w:rsidRDefault="00342685" w:rsidP="00C725EF">
            <w:pPr>
              <w:ind w:left="34"/>
            </w:pPr>
          </w:p>
          <w:p w:rsidR="00342685" w:rsidRPr="00A77477" w:rsidRDefault="00342685" w:rsidP="00C725EF">
            <w:pPr>
              <w:ind w:left="34"/>
            </w:pPr>
            <w:r w:rsidRPr="00A77477">
              <w:t>- типирования очага бруцеллеза и организации противоэпидемических мероприятий;</w:t>
            </w:r>
          </w:p>
          <w:p w:rsidR="00342685" w:rsidRPr="00A77477" w:rsidRDefault="00342685" w:rsidP="00C725EF">
            <w:pPr>
              <w:ind w:left="34"/>
            </w:pPr>
            <w:r w:rsidRPr="00A77477">
              <w:t>- вакцинации декретированного контингента;</w:t>
            </w:r>
          </w:p>
          <w:p w:rsidR="00342685" w:rsidRPr="00A77477" w:rsidRDefault="00342685" w:rsidP="00C725EF">
            <w:pPr>
              <w:ind w:left="34"/>
            </w:pPr>
          </w:p>
          <w:p w:rsidR="00342685" w:rsidRPr="00A77477" w:rsidRDefault="00342685" w:rsidP="00C725EF">
            <w:pPr>
              <w:ind w:left="34"/>
            </w:pPr>
          </w:p>
          <w:p w:rsidR="00342685" w:rsidRPr="00A77477" w:rsidRDefault="00342685" w:rsidP="00C725EF">
            <w:pPr>
              <w:ind w:left="34"/>
            </w:pPr>
            <w:r w:rsidRPr="00A77477">
              <w:t>- по вопросам обеспечения санитарно-эпидемиологического режима при работе с живыми культурами бруцелл;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>
              <w:t>Я</w:t>
            </w:r>
            <w:r w:rsidRPr="00A77477">
              <w:t>нварь-ноябрь</w:t>
            </w: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>
              <w:t>Оказание консультативно-методической помощи</w:t>
            </w:r>
            <w:r w:rsidRPr="00A77477">
              <w:t xml:space="preserve"> специалистам</w:t>
            </w:r>
            <w:r>
              <w:t xml:space="preserve"> (по плану)</w:t>
            </w:r>
            <w:r w:rsidRPr="00A77477">
              <w:t>: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lastRenderedPageBreak/>
              <w:t>- Управления Роспотребнадзора по Республике Саха (Якутия);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t>- Управления Роспотребнадзора по Самарской области;</w:t>
            </w:r>
          </w:p>
          <w:p w:rsidR="00342685" w:rsidRPr="00A77477" w:rsidRDefault="00342685" w:rsidP="00C725EF"/>
          <w:p w:rsidR="00342685" w:rsidRPr="00A77477" w:rsidRDefault="00342685" w:rsidP="00C725EF"/>
          <w:p w:rsidR="00342685" w:rsidRPr="00A77477" w:rsidRDefault="00342685" w:rsidP="00C725EF"/>
          <w:p w:rsidR="00342685" w:rsidRPr="00A77477" w:rsidRDefault="00342685" w:rsidP="00C725EF"/>
          <w:p w:rsidR="00342685" w:rsidRPr="00A77477" w:rsidRDefault="00342685" w:rsidP="00C725EF">
            <w:r w:rsidRPr="00A77477">
              <w:t>- Управления Роспотребнадзора  по Оренбургской области;</w:t>
            </w:r>
          </w:p>
          <w:p w:rsidR="00342685" w:rsidRPr="00A77477" w:rsidRDefault="00342685" w:rsidP="00C725EF"/>
          <w:p w:rsidR="00342685" w:rsidRPr="00A77477" w:rsidRDefault="00342685" w:rsidP="00C725EF">
            <w:r w:rsidRPr="00A77477">
              <w:t>- ФБУЗ Центр гигиены и эпидемиологии в ЯНАО.</w:t>
            </w:r>
          </w:p>
          <w:p w:rsidR="00342685" w:rsidRPr="00A77477" w:rsidRDefault="00342685" w:rsidP="00C725EF">
            <w:r w:rsidRPr="00A77477">
              <w:t>(по плану)</w:t>
            </w:r>
          </w:p>
          <w:p w:rsidR="00342685" w:rsidRPr="00A77477" w:rsidRDefault="00342685" w:rsidP="00C725EF"/>
          <w:p w:rsidR="00342685" w:rsidRPr="00A77477" w:rsidRDefault="00342685" w:rsidP="00C725EF"/>
          <w:p w:rsidR="00342685" w:rsidRDefault="00342685" w:rsidP="00C725EF">
            <w:r w:rsidRPr="00A77477">
              <w:t>- ФКП «Ставропольская биофабрика»</w:t>
            </w:r>
          </w:p>
          <w:p w:rsidR="00342685" w:rsidRPr="00A77477" w:rsidRDefault="00342685" w:rsidP="00C725EF"/>
        </w:tc>
        <w:tc>
          <w:tcPr>
            <w:tcW w:w="4164" w:type="dxa"/>
          </w:tcPr>
          <w:p w:rsidR="00342685" w:rsidRPr="00A77477" w:rsidRDefault="00342685" w:rsidP="00C725EF">
            <w:pPr>
              <w:ind w:left="34"/>
            </w:pPr>
            <w:r w:rsidRPr="00A77477">
              <w:lastRenderedPageBreak/>
              <w:t>Консультативно-методическая, практическая помощь:</w:t>
            </w:r>
          </w:p>
          <w:p w:rsidR="00342685" w:rsidRPr="00A77477" w:rsidRDefault="00342685" w:rsidP="00C725EF">
            <w:pPr>
              <w:ind w:left="34"/>
            </w:pPr>
          </w:p>
          <w:p w:rsidR="00342685" w:rsidRPr="00A77477" w:rsidRDefault="00342685" w:rsidP="00C725EF">
            <w:pPr>
              <w:ind w:left="34"/>
            </w:pPr>
            <w:r w:rsidRPr="00A77477">
              <w:lastRenderedPageBreak/>
              <w:t>- по организации и тактике проведения вакцинации людей против бруцеллеза по эпидемическим показаниям;</w:t>
            </w:r>
          </w:p>
          <w:p w:rsidR="00342685" w:rsidRPr="00A77477" w:rsidRDefault="00342685" w:rsidP="00C725EF">
            <w:pPr>
              <w:ind w:left="34"/>
            </w:pPr>
            <w:r w:rsidRPr="00A77477">
              <w:t>- по организации профилактических мероприятий в отношении бруцеллеза в Самарской области (выезд 2-х специалистов Референс-центра;</w:t>
            </w:r>
          </w:p>
          <w:p w:rsidR="00342685" w:rsidRPr="00A77477" w:rsidRDefault="00342685" w:rsidP="00C725EF">
            <w:pPr>
              <w:ind w:left="34"/>
            </w:pPr>
            <w:r w:rsidRPr="00A77477">
              <w:t xml:space="preserve">-по организации и тактике проведения вакцинации людей против бруцеллеза по эпидемическим показаниям; </w:t>
            </w:r>
          </w:p>
          <w:p w:rsidR="00342685" w:rsidRPr="00A77477" w:rsidRDefault="00342685" w:rsidP="00C725EF">
            <w:pPr>
              <w:ind w:left="34"/>
            </w:pPr>
            <w:r w:rsidRPr="00A77477">
              <w:t>- по вопросам отбора, транспортировки и интерпретации результатов лабораторных исследований  материала от людей с подозрением на заболевание бруцеллезом;</w:t>
            </w:r>
          </w:p>
          <w:p w:rsidR="00342685" w:rsidRPr="00A77477" w:rsidRDefault="00342685" w:rsidP="00C725EF">
            <w:pPr>
              <w:ind w:left="34"/>
            </w:pPr>
            <w:r w:rsidRPr="00A77477">
              <w:t>- по вопросам оптимизации и совершенствования биотехнологии производства вакцины против бруцеллеза овец и коз.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</w:pPr>
          </w:p>
          <w:p w:rsidR="00342685" w:rsidRPr="00A77477" w:rsidRDefault="00342685" w:rsidP="00C725EF">
            <w:pPr>
              <w:suppressAutoHyphens/>
              <w:ind w:right="-60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lastRenderedPageBreak/>
              <w:t>Январь</w:t>
            </w:r>
          </w:p>
          <w:p w:rsidR="00342685" w:rsidRPr="00A77477" w:rsidRDefault="00342685" w:rsidP="00C725EF">
            <w:pPr>
              <w:suppressAutoHyphens/>
              <w:ind w:right="-60"/>
            </w:pPr>
          </w:p>
          <w:p w:rsidR="00342685" w:rsidRPr="00A77477" w:rsidRDefault="00342685" w:rsidP="00C725EF">
            <w:pPr>
              <w:suppressAutoHyphens/>
              <w:ind w:right="-60"/>
            </w:pPr>
          </w:p>
          <w:p w:rsidR="00342685" w:rsidRPr="00A77477" w:rsidRDefault="00342685" w:rsidP="00C725EF">
            <w:pPr>
              <w:suppressAutoHyphens/>
              <w:ind w:right="-60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Март</w:t>
            </w: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Апрель</w:t>
            </w:r>
          </w:p>
          <w:p w:rsidR="00342685" w:rsidRPr="00A77477" w:rsidRDefault="00342685" w:rsidP="00C725EF">
            <w:pPr>
              <w:suppressAutoHyphens/>
              <w:ind w:right="-60"/>
            </w:pPr>
          </w:p>
          <w:p w:rsidR="00342685" w:rsidRPr="00A77477" w:rsidRDefault="00342685" w:rsidP="00C725EF">
            <w:pPr>
              <w:suppressAutoHyphens/>
              <w:ind w:right="-60"/>
            </w:pPr>
          </w:p>
          <w:p w:rsidR="00342685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Сентябрь</w:t>
            </w: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Февраль-ноябрь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lastRenderedPageBreak/>
              <w:t>Лаборатория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Default="00342685" w:rsidP="00C725EF">
            <w:pPr>
              <w:suppressAutoHyphens/>
              <w:ind w:right="-60"/>
            </w:pPr>
            <w:r w:rsidRPr="00A77477">
              <w:t xml:space="preserve">Участие в расследовании   2-х случаев группового заболевания людей бруцеллезом в Шпаковском районе Ставропольского края (х. Рынки и </w:t>
            </w:r>
          </w:p>
          <w:p w:rsidR="00342685" w:rsidRPr="00A77477" w:rsidRDefault="00342685" w:rsidP="00C725EF">
            <w:pPr>
              <w:suppressAutoHyphens/>
              <w:ind w:right="-60"/>
            </w:pPr>
            <w:r w:rsidRPr="00A77477">
              <w:t>ст. Темнолесская) (вне плана)</w:t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suppressAutoHyphens/>
              <w:ind w:right="-60"/>
            </w:pPr>
            <w:r w:rsidRPr="00A77477">
              <w:t>Проведение серологических и бактериологических исследований материала от людей из очага инфекции</w:t>
            </w:r>
          </w:p>
          <w:p w:rsidR="00342685" w:rsidRPr="00A77477" w:rsidRDefault="00342685" w:rsidP="00C725EF">
            <w:pPr>
              <w:suppressAutoHyphens/>
              <w:ind w:right="-60"/>
            </w:pP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Май</w:t>
            </w: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  <w:p w:rsidR="00342685" w:rsidRPr="00A77477" w:rsidRDefault="00342685" w:rsidP="00C725EF">
            <w:pPr>
              <w:suppressAutoHyphens/>
              <w:ind w:right="-60"/>
              <w:jc w:val="center"/>
            </w:pP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  <w:r>
              <w:t>, лаборатория биохимии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suppressAutoHyphens/>
              <w:ind w:right="-60"/>
            </w:pPr>
            <w:r w:rsidRPr="00A77477">
              <w:t xml:space="preserve">Изучение  культур возбудителя бруцеллеза, выделенных из крови больных бруцеллезом людей на </w:t>
            </w:r>
            <w:r>
              <w:t>территории ЮФО, СКФО (по плану)</w:t>
            </w:r>
          </w:p>
        </w:tc>
        <w:tc>
          <w:tcPr>
            <w:tcW w:w="4164" w:type="dxa"/>
          </w:tcPr>
          <w:p w:rsidR="00342685" w:rsidRPr="00A77477" w:rsidRDefault="00342685" w:rsidP="00C725EF">
            <w:r w:rsidRPr="00A77477">
              <w:t xml:space="preserve">Определена видовая, биоваровая принадлежность и </w:t>
            </w:r>
            <w:r w:rsidRPr="00A77477">
              <w:rPr>
                <w:lang w:val="en-US"/>
              </w:rPr>
              <w:t>MLVA</w:t>
            </w:r>
            <w:r w:rsidRPr="00A77477">
              <w:t xml:space="preserve">-генотип 20 штаммов бруцелл, выделеных от больных бруцеллезом людей в Республиках Калмыкия (9 штаммов), </w:t>
            </w:r>
            <w:r w:rsidRPr="00A77477">
              <w:lastRenderedPageBreak/>
              <w:t>Дагестан (5 штаммов), Липецкой (3 щтамма), Самарской (1 штамм) областях, Ставропольском крае (1 штамм), г. Москва (1).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lastRenderedPageBreak/>
              <w:t>В течение года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  <w:r>
              <w:t>, лаборатория биохимии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suppressAutoHyphens/>
              <w:ind w:right="-60"/>
            </w:pPr>
            <w:r>
              <w:t>Оказание консультативно-методической и диагностической помощи</w:t>
            </w:r>
            <w:r w:rsidRPr="00A77477">
              <w:t xml:space="preserve"> по вопросам лабораторной диагностики бруцеллеза специалистам «Краевого центра по диагностике, лечению и экспертизе профпатологии бруцеллеза»  (по </w:t>
            </w:r>
            <w:r>
              <w:t>плану)</w:t>
            </w:r>
          </w:p>
        </w:tc>
        <w:tc>
          <w:tcPr>
            <w:tcW w:w="4164" w:type="dxa"/>
          </w:tcPr>
          <w:p w:rsidR="00342685" w:rsidRPr="00A77477" w:rsidRDefault="00342685" w:rsidP="00C725EF">
            <w:r w:rsidRPr="00A77477">
              <w:t>Повышение результативности и эффективности лабораторной диагностики бруцеллеза.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В течение года</w:t>
            </w:r>
          </w:p>
        </w:tc>
        <w:tc>
          <w:tcPr>
            <w:tcW w:w="3578" w:type="dxa"/>
          </w:tcPr>
          <w:p w:rsidR="00342685" w:rsidRPr="0097571A" w:rsidRDefault="00342685" w:rsidP="00C725EF">
            <w:pPr>
              <w:suppressAutoHyphens/>
              <w:ind w:right="-60"/>
              <w:rPr>
                <w:b/>
              </w:rPr>
            </w:pPr>
            <w:r w:rsidRPr="00342685">
              <w:t>Лаборатория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suppressAutoHyphens/>
              <w:ind w:right="-60"/>
            </w:pPr>
            <w:r w:rsidRPr="00A77477">
              <w:t>Производство МИБП для диагностики бруцеллеза:</w:t>
            </w:r>
          </w:p>
          <w:p w:rsidR="00342685" w:rsidRPr="00A77477" w:rsidRDefault="00342685" w:rsidP="00C725EF">
            <w:pPr>
              <w:suppressAutoHyphens/>
              <w:ind w:right="-60"/>
            </w:pPr>
            <w:r w:rsidRPr="00A77477">
              <w:t>- Диагностикум бруцеллезный жидкий для реакции агглютинации</w:t>
            </w:r>
          </w:p>
          <w:p w:rsidR="00342685" w:rsidRPr="00A77477" w:rsidRDefault="00342685" w:rsidP="00C725EF">
            <w:pPr>
              <w:suppressAutoHyphens/>
              <w:ind w:right="-60"/>
              <w:rPr>
                <w:kern w:val="28"/>
              </w:rPr>
            </w:pPr>
            <w:r w:rsidRPr="00A77477">
              <w:t xml:space="preserve">- </w:t>
            </w:r>
            <w:r w:rsidRPr="00A77477">
              <w:rPr>
                <w:kern w:val="28"/>
              </w:rPr>
              <w:t>Тест-система для выявления возбудителя бруцеллеза в иммуноферментном анализе</w:t>
            </w:r>
          </w:p>
          <w:p w:rsidR="00342685" w:rsidRPr="00A77477" w:rsidRDefault="00342685" w:rsidP="00C725EF">
            <w:pPr>
              <w:suppressAutoHyphens/>
              <w:ind w:right="-60"/>
              <w:rPr>
                <w:kern w:val="28"/>
              </w:rPr>
            </w:pPr>
            <w:r w:rsidRPr="00A77477">
              <w:rPr>
                <w:kern w:val="28"/>
              </w:rPr>
              <w:t>- Тест-система иммуноферментная для выявления антител к возбудителю бруцеллеза</w:t>
            </w:r>
          </w:p>
          <w:p w:rsidR="00342685" w:rsidRPr="00A77477" w:rsidRDefault="00342685" w:rsidP="00C725EF">
            <w:pPr>
              <w:suppressAutoHyphens/>
              <w:ind w:right="-60"/>
            </w:pPr>
            <w:r w:rsidRPr="00A77477">
              <w:rPr>
                <w:kern w:val="28"/>
              </w:rPr>
              <w:t>- Питательная среда жидкая для транспортировки биоматериала и накопления бруцелл (по плану)</w:t>
            </w:r>
          </w:p>
        </w:tc>
        <w:tc>
          <w:tcPr>
            <w:tcW w:w="4164" w:type="dxa"/>
          </w:tcPr>
          <w:p w:rsidR="00342685" w:rsidRDefault="00342685" w:rsidP="00C725EF">
            <w:r w:rsidRPr="00A77477">
              <w:t xml:space="preserve">Выполнение заявок учреждений </w:t>
            </w:r>
          </w:p>
          <w:p w:rsidR="00342685" w:rsidRPr="00A77477" w:rsidRDefault="00342685" w:rsidP="00C725EF">
            <w:r w:rsidRPr="00A77477">
              <w:t>Роспотребнадзора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t>В течение года</w:t>
            </w:r>
          </w:p>
        </w:tc>
        <w:tc>
          <w:tcPr>
            <w:tcW w:w="3578" w:type="dxa"/>
          </w:tcPr>
          <w:p w:rsidR="00C04E4B" w:rsidRPr="00C04E4B" w:rsidRDefault="00C04E4B" w:rsidP="00C04E4B">
            <w:pPr>
              <w:rPr>
                <w:bCs/>
              </w:rPr>
            </w:pPr>
            <w:r w:rsidRPr="00C04E4B">
              <w:rPr>
                <w:bCs/>
              </w:rPr>
              <w:t xml:space="preserve">Научно- производственная лаборатория препаратов для диагностики особо опасных </w:t>
            </w:r>
          </w:p>
          <w:p w:rsidR="00342685" w:rsidRPr="0097571A" w:rsidRDefault="00C04E4B" w:rsidP="00C04E4B">
            <w:pPr>
              <w:suppressAutoHyphens/>
              <w:ind w:right="-60"/>
              <w:rPr>
                <w:b/>
              </w:rPr>
            </w:pPr>
            <w:r w:rsidRPr="00C04E4B">
              <w:rPr>
                <w:bCs/>
              </w:rPr>
              <w:t>и других инфекций</w:t>
            </w:r>
          </w:p>
        </w:tc>
      </w:tr>
      <w:tr w:rsidR="00342685" w:rsidRPr="00C15474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r>
              <w:t>Разработка</w:t>
            </w:r>
            <w:r w:rsidRPr="00A77477">
              <w:t xml:space="preserve"> эле</w:t>
            </w:r>
            <w:r>
              <w:t>ктронной базы данных «База рефе</w:t>
            </w:r>
            <w:r w:rsidRPr="00A77477">
              <w:t xml:space="preserve">ренсных масс-спектров штаммов возбудителя бруцеллеза в среде программы MALDI BioTyper». </w:t>
            </w:r>
            <w:r>
              <w:t>Федеральный</w:t>
            </w:r>
            <w:r w:rsidRPr="00A77477">
              <w:t xml:space="preserve"> уровень внедрения</w:t>
            </w:r>
            <w:r>
              <w:t xml:space="preserve"> </w:t>
            </w:r>
            <w:r w:rsidRPr="00A77477">
              <w:t>(вне плана)</w:t>
            </w:r>
          </w:p>
        </w:tc>
        <w:tc>
          <w:tcPr>
            <w:tcW w:w="4164" w:type="dxa"/>
          </w:tcPr>
          <w:p w:rsidR="00342685" w:rsidRPr="00A77477" w:rsidRDefault="00342685" w:rsidP="00C725EF">
            <w:pPr>
              <w:ind w:left="-57" w:right="-57"/>
            </w:pPr>
            <w:r w:rsidRPr="00A77477">
              <w:t xml:space="preserve">ЭБД включает 96 масс-спектров штаммов бруцелл 6 видов. База создана на платформе программы MALDI Biotyper и предназначена для сравнительного анализа масс-спектров экстрактов рибосомальных белков штаммов </w:t>
            </w:r>
            <w:r w:rsidRPr="00A77477">
              <w:rPr>
                <w:i/>
              </w:rPr>
              <w:t>Brucella</w:t>
            </w:r>
            <w:r w:rsidRPr="00A77477">
              <w:t xml:space="preserve"> spp.</w:t>
            </w:r>
          </w:p>
          <w:p w:rsidR="00342685" w:rsidRPr="00A77477" w:rsidRDefault="00342685" w:rsidP="00C725EF">
            <w:pPr>
              <w:ind w:left="-52"/>
            </w:pPr>
            <w:r w:rsidRPr="00A77477">
              <w:t>Подготовлен пакет документов для регистрации БД в ФИПС в установленном порядке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1D3003">
              <w:t>Сентябрь</w:t>
            </w:r>
          </w:p>
        </w:tc>
        <w:tc>
          <w:tcPr>
            <w:tcW w:w="3578" w:type="dxa"/>
          </w:tcPr>
          <w:p w:rsidR="00342685" w:rsidRPr="00C15474" w:rsidRDefault="00C04E4B" w:rsidP="00C04E4B">
            <w:pPr>
              <w:pStyle w:val="Style8"/>
              <w:tabs>
                <w:tab w:val="left" w:pos="0"/>
                <w:tab w:val="left" w:pos="284"/>
                <w:tab w:val="left" w:pos="426"/>
                <w:tab w:val="left" w:pos="993"/>
              </w:tabs>
              <w:outlineLvl w:val="0"/>
            </w:pPr>
            <w:r>
              <w:t>Лаборатория биохимии,</w:t>
            </w:r>
            <w:r w:rsidRPr="00342685">
              <w:t xml:space="preserve"> </w:t>
            </w:r>
            <w:r>
              <w:t>л</w:t>
            </w:r>
            <w:r w:rsidRPr="00342685">
              <w:t>аборатория бруцеллеза</w:t>
            </w:r>
            <w:r>
              <w:t xml:space="preserve"> 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contextualSpacing/>
            </w:pPr>
            <w:r>
              <w:t>Изучение геномной последовательности</w:t>
            </w:r>
            <w:r w:rsidRPr="00A77477">
              <w:t xml:space="preserve"> штаммов возбудителей бруцеллеза, выделенных на территории</w:t>
            </w:r>
            <w:r>
              <w:t xml:space="preserve"> </w:t>
            </w:r>
            <w:r w:rsidRPr="00A77477">
              <w:t>(вне плана):</w:t>
            </w: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  <w:r w:rsidRPr="00A77477">
              <w:t xml:space="preserve">- Республики Дагестан </w:t>
            </w: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  <w:r w:rsidRPr="00A77477">
              <w:t>- Республики Бурятия</w:t>
            </w: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  <w:r w:rsidRPr="00A77477">
              <w:t xml:space="preserve">- Республики Тыва </w:t>
            </w: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  <w:r w:rsidRPr="00A77477">
              <w:t xml:space="preserve">- Красноярского края </w:t>
            </w: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  <w:r w:rsidRPr="00A77477">
              <w:t>- Иркутской области</w:t>
            </w: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  <w:p w:rsidR="00342685" w:rsidRPr="00A77477" w:rsidRDefault="00342685" w:rsidP="00C725EF">
            <w:pPr>
              <w:contextualSpacing/>
            </w:pPr>
          </w:p>
        </w:tc>
        <w:tc>
          <w:tcPr>
            <w:tcW w:w="4164" w:type="dxa"/>
          </w:tcPr>
          <w:p w:rsidR="00342685" w:rsidRPr="00A77477" w:rsidRDefault="00342685" w:rsidP="00C725EF">
            <w:pPr>
              <w:suppressAutoHyphens/>
              <w:ind w:left="-57" w:right="-57"/>
              <w:contextualSpacing/>
            </w:pPr>
            <w:r w:rsidRPr="00A77477">
              <w:lastRenderedPageBreak/>
              <w:t xml:space="preserve">Депонированы в международную базу данных GenBank </w:t>
            </w:r>
          </w:p>
          <w:p w:rsidR="00342685" w:rsidRPr="00A77477" w:rsidRDefault="00342685" w:rsidP="00C725EF">
            <w:pPr>
              <w:ind w:left="-57" w:right="-57"/>
            </w:pPr>
            <w:r w:rsidRPr="00A77477">
              <w:t>последовательности ДНК бруцелл:</w:t>
            </w:r>
          </w:p>
          <w:p w:rsidR="00342685" w:rsidRPr="00A77477" w:rsidRDefault="00342685" w:rsidP="00C725EF">
            <w:pPr>
              <w:ind w:left="-57" w:right="-57"/>
            </w:pPr>
          </w:p>
          <w:p w:rsidR="00342685" w:rsidRPr="007C23FC" w:rsidRDefault="00342685" w:rsidP="00C725EF">
            <w:pPr>
              <w:ind w:left="-57" w:right="-57"/>
            </w:pPr>
            <w:r w:rsidRPr="007C23FC">
              <w:rPr>
                <w:i/>
                <w:lang w:val="en-US"/>
              </w:rPr>
              <w:t>Brucella</w:t>
            </w:r>
            <w:r w:rsidRPr="007C23FC">
              <w:rPr>
                <w:i/>
              </w:rPr>
              <w:t xml:space="preserve"> </w:t>
            </w:r>
            <w:r w:rsidRPr="007C23FC">
              <w:rPr>
                <w:i/>
                <w:lang w:val="en-US"/>
              </w:rPr>
              <w:t>melitensis</w:t>
            </w:r>
            <w:r w:rsidRPr="007C23FC">
              <w:t xml:space="preserve"> С-573 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 xml:space="preserve">15.02.2017 </w:t>
            </w:r>
            <w:r w:rsidRPr="007C23FC">
              <w:t>г</w:t>
            </w:r>
            <w:r w:rsidRPr="007C23FC">
              <w:rPr>
                <w:lang w:val="en-US"/>
              </w:rPr>
              <w:t>.)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GenBank assembly accession: GCA_001307475.2 (latest)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RefSeq assembly accession: GCF_001307475.2 (latest);</w:t>
            </w:r>
          </w:p>
          <w:p w:rsidR="00342685" w:rsidRPr="007C23FC" w:rsidRDefault="00342685" w:rsidP="00C725EF">
            <w:pPr>
              <w:ind w:right="-57"/>
              <w:rPr>
                <w:lang w:val="en-US"/>
              </w:rPr>
            </w:pPr>
            <w:r w:rsidRPr="007C23FC">
              <w:rPr>
                <w:i/>
                <w:lang w:val="en-US"/>
              </w:rPr>
              <w:t>Brucella melitensis</w:t>
            </w:r>
            <w:r w:rsidRPr="007C23FC">
              <w:rPr>
                <w:lang w:val="en-US"/>
              </w:rPr>
              <w:t xml:space="preserve"> </w:t>
            </w:r>
            <w:r w:rsidRPr="007C23FC">
              <w:t>И</w:t>
            </w:r>
            <w:r w:rsidRPr="007C23FC">
              <w:rPr>
                <w:lang w:val="en-US"/>
              </w:rPr>
              <w:t>–280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 xml:space="preserve">11.08.2017 </w:t>
            </w:r>
            <w:r w:rsidRPr="007C23FC">
              <w:t>г</w:t>
            </w:r>
            <w:r w:rsidRPr="007C23FC">
              <w:rPr>
                <w:lang w:val="en-US"/>
              </w:rPr>
              <w:t>.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(GCA_002278575.1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PRJNA397974 SAMN07498437);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i/>
                <w:lang w:val="en-US"/>
              </w:rPr>
              <w:t>Brucella melitensis</w:t>
            </w:r>
            <w:r w:rsidRPr="007C23FC">
              <w:rPr>
                <w:lang w:val="en-US"/>
              </w:rPr>
              <w:t xml:space="preserve"> </w:t>
            </w:r>
            <w:r w:rsidRPr="007C23FC">
              <w:t>И</w:t>
            </w:r>
            <w:r w:rsidRPr="007C23FC">
              <w:rPr>
                <w:lang w:val="en-US"/>
              </w:rPr>
              <w:t>–160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 xml:space="preserve">11.08.2017 </w:t>
            </w:r>
            <w:r w:rsidRPr="007C23FC">
              <w:t>г</w:t>
            </w:r>
            <w:r w:rsidRPr="007C23FC">
              <w:rPr>
                <w:lang w:val="en-US"/>
              </w:rPr>
              <w:t>.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(GCA_002278585.1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 xml:space="preserve">PRJNA397965 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SAMN07498373);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i/>
                <w:lang w:val="en-US"/>
              </w:rPr>
              <w:t>Brucella melitensis</w:t>
            </w:r>
            <w:r w:rsidRPr="007C23FC">
              <w:rPr>
                <w:lang w:val="en-US"/>
              </w:rPr>
              <w:t xml:space="preserve"> </w:t>
            </w:r>
            <w:r w:rsidRPr="007C23FC">
              <w:t>И</w:t>
            </w:r>
            <w:r w:rsidRPr="007C23FC">
              <w:rPr>
                <w:lang w:val="en-US"/>
              </w:rPr>
              <w:t>–370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(GCA_002278715.1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PRJNA398461 SAMN07510738);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i/>
                <w:lang w:val="en-US"/>
              </w:rPr>
              <w:t>Brucella melitensis</w:t>
            </w:r>
            <w:r w:rsidRPr="007C23FC">
              <w:rPr>
                <w:lang w:val="en-US"/>
              </w:rPr>
              <w:t xml:space="preserve"> </w:t>
            </w:r>
            <w:r w:rsidRPr="007C23FC">
              <w:t>И</w:t>
            </w:r>
            <w:r w:rsidRPr="007C23FC">
              <w:rPr>
                <w:lang w:val="en-US"/>
              </w:rPr>
              <w:t>–308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(GCA_002278735.1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PRJNA398463 SAMN07510740);</w:t>
            </w:r>
          </w:p>
          <w:p w:rsidR="00342685" w:rsidRPr="007C23FC" w:rsidRDefault="00342685" w:rsidP="00C725EF">
            <w:pPr>
              <w:ind w:right="-57"/>
              <w:rPr>
                <w:lang w:val="en-US"/>
              </w:rPr>
            </w:pPr>
            <w:r w:rsidRPr="007C23FC">
              <w:rPr>
                <w:i/>
                <w:lang w:val="en-US"/>
              </w:rPr>
              <w:t>Brucella melitensis</w:t>
            </w:r>
            <w:r w:rsidRPr="007C23FC">
              <w:rPr>
                <w:lang w:val="en-US"/>
              </w:rPr>
              <w:t xml:space="preserve"> </w:t>
            </w:r>
            <w:r w:rsidRPr="007C23FC">
              <w:t>И</w:t>
            </w:r>
            <w:r w:rsidRPr="007C23FC">
              <w:rPr>
                <w:lang w:val="en-US"/>
              </w:rPr>
              <w:t>–340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 xml:space="preserve">11.08.2017 </w:t>
            </w:r>
            <w:r w:rsidRPr="007C23FC">
              <w:t>г</w:t>
            </w:r>
            <w:r w:rsidRPr="007C23FC">
              <w:rPr>
                <w:lang w:val="en-US"/>
              </w:rPr>
              <w:t>.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(GCA_002278695.1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>PRJNA398460 SAMN07510723);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</w:p>
          <w:p w:rsidR="00342685" w:rsidRPr="007C23FC" w:rsidRDefault="00342685" w:rsidP="00C725EF">
            <w:pPr>
              <w:ind w:right="-57"/>
              <w:rPr>
                <w:lang w:val="en-US"/>
              </w:rPr>
            </w:pPr>
            <w:r w:rsidRPr="007C23FC">
              <w:rPr>
                <w:i/>
                <w:lang w:val="en-US"/>
              </w:rPr>
              <w:t>Brucella melitensis</w:t>
            </w:r>
            <w:r w:rsidRPr="007C23FC">
              <w:rPr>
                <w:lang w:val="en-US"/>
              </w:rPr>
              <w:t xml:space="preserve"> </w:t>
            </w:r>
            <w:r w:rsidRPr="007C23FC">
              <w:t>И</w:t>
            </w:r>
            <w:r w:rsidRPr="007C23FC">
              <w:rPr>
                <w:lang w:val="en-US"/>
              </w:rPr>
              <w:t>–194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7C23FC">
              <w:rPr>
                <w:lang w:val="en-US"/>
              </w:rPr>
              <w:t xml:space="preserve">11.08.2017 </w:t>
            </w:r>
            <w:r w:rsidRPr="007C23FC">
              <w:t>г</w:t>
            </w:r>
            <w:r w:rsidRPr="007C23FC">
              <w:rPr>
                <w:lang w:val="en-US"/>
              </w:rPr>
              <w:t>.</w:t>
            </w:r>
          </w:p>
          <w:p w:rsidR="00342685" w:rsidRPr="007C23FC" w:rsidRDefault="00342685" w:rsidP="00C725EF">
            <w:pPr>
              <w:ind w:left="-57" w:right="-57"/>
              <w:rPr>
                <w:lang w:val="en-US"/>
              </w:rPr>
            </w:pPr>
            <w:r w:rsidRPr="006F7723">
              <w:rPr>
                <w:lang w:val="en-US"/>
              </w:rPr>
              <w:lastRenderedPageBreak/>
              <w:t>(</w:t>
            </w:r>
            <w:r w:rsidRPr="007C23FC">
              <w:rPr>
                <w:lang w:val="en-US"/>
              </w:rPr>
              <w:t>GCA_002278735.1</w:t>
            </w:r>
          </w:p>
          <w:p w:rsidR="00342685" w:rsidRPr="006F7723" w:rsidRDefault="00342685" w:rsidP="00C725EF">
            <w:pPr>
              <w:ind w:left="-57" w:right="-57"/>
              <w:rPr>
                <w:lang w:val="en-US"/>
              </w:rPr>
            </w:pPr>
            <w:r w:rsidRPr="006F7723">
              <w:rPr>
                <w:lang w:val="en-US"/>
              </w:rPr>
              <w:t>PRJNA398456</w:t>
            </w:r>
          </w:p>
          <w:p w:rsidR="00342685" w:rsidRPr="006F7723" w:rsidRDefault="00342685" w:rsidP="00C725EF">
            <w:pPr>
              <w:ind w:left="-57" w:right="-57"/>
              <w:rPr>
                <w:lang w:val="en-US"/>
              </w:rPr>
            </w:pPr>
            <w:r w:rsidRPr="006F7723">
              <w:rPr>
                <w:lang w:val="en-US"/>
              </w:rPr>
              <w:t>SAMN07510711).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 w:rsidRPr="00A77477">
              <w:lastRenderedPageBreak/>
              <w:t>Январь-ноябрь</w:t>
            </w:r>
          </w:p>
        </w:tc>
        <w:tc>
          <w:tcPr>
            <w:tcW w:w="3578" w:type="dxa"/>
          </w:tcPr>
          <w:p w:rsidR="00342685" w:rsidRPr="0097571A" w:rsidRDefault="00C04E4B" w:rsidP="00C725EF">
            <w:pPr>
              <w:suppressAutoHyphens/>
              <w:ind w:right="-60"/>
              <w:rPr>
                <w:b/>
              </w:rPr>
            </w:pPr>
            <w:r>
              <w:t>Лаборатория биохимии,</w:t>
            </w:r>
            <w:r w:rsidRPr="00342685">
              <w:t xml:space="preserve"> </w:t>
            </w:r>
            <w:r>
              <w:t>л</w:t>
            </w:r>
            <w:r w:rsidRPr="00342685">
              <w:t>аборатория бруцеллеза</w:t>
            </w:r>
          </w:p>
        </w:tc>
      </w:tr>
      <w:tr w:rsidR="00342685" w:rsidRPr="0097571A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A77477" w:rsidRDefault="00342685" w:rsidP="00C725EF">
            <w:pPr>
              <w:contextualSpacing/>
            </w:pPr>
            <w:r>
              <w:t xml:space="preserve">Разработка заявки на изобретение «Питательная среда плотная для культивирования возбудителя инфекционного эпидидимита баранов </w:t>
            </w:r>
            <w:r w:rsidRPr="006861CD">
              <w:rPr>
                <w:i/>
              </w:rPr>
              <w:t>B</w:t>
            </w:r>
            <w:r w:rsidRPr="006861CD">
              <w:rPr>
                <w:i/>
                <w:lang w:val="en-US"/>
              </w:rPr>
              <w:t>rucella</w:t>
            </w:r>
            <w:r w:rsidRPr="006861CD">
              <w:rPr>
                <w:i/>
              </w:rPr>
              <w:t xml:space="preserve"> ovis</w:t>
            </w:r>
            <w:r>
              <w:rPr>
                <w:i/>
              </w:rPr>
              <w:t xml:space="preserve"> </w:t>
            </w:r>
            <w:r w:rsidRPr="00A77477">
              <w:rPr>
                <w:kern w:val="28"/>
              </w:rPr>
              <w:t>(по плану)</w:t>
            </w:r>
          </w:p>
        </w:tc>
        <w:tc>
          <w:tcPr>
            <w:tcW w:w="4164" w:type="dxa"/>
          </w:tcPr>
          <w:p w:rsidR="00342685" w:rsidRDefault="00342685" w:rsidP="00C725EF">
            <w:pPr>
              <w:suppressAutoHyphens/>
              <w:ind w:left="-57" w:right="-57"/>
              <w:contextualSpacing/>
            </w:pPr>
            <w:r>
              <w:t>П</w:t>
            </w:r>
            <w:r w:rsidRPr="006861CD">
              <w:t xml:space="preserve">итательная среда плотная для культивирования </w:t>
            </w:r>
            <w:r w:rsidRPr="006861CD">
              <w:rPr>
                <w:i/>
              </w:rPr>
              <w:t>B</w:t>
            </w:r>
            <w:r w:rsidRPr="006861CD">
              <w:rPr>
                <w:i/>
                <w:lang w:val="en-US"/>
              </w:rPr>
              <w:t>rucella</w:t>
            </w:r>
            <w:r w:rsidRPr="006861CD">
              <w:rPr>
                <w:i/>
              </w:rPr>
              <w:t xml:space="preserve"> ovis</w:t>
            </w:r>
            <w:r w:rsidRPr="006861CD">
              <w:t xml:space="preserve"> возбудителя инфекционного эпидидимита баранов является оптимальной по количеству подобранных ингредиентов, что позволяет получить достаточное количество колоний в максимально ранние сроки, через 24</w:t>
            </w:r>
            <w:r>
              <w:t>,</w:t>
            </w:r>
            <w:r w:rsidRPr="006861CD">
              <w:t>0±1</w:t>
            </w:r>
            <w:r>
              <w:t>,0</w:t>
            </w:r>
            <w:r w:rsidRPr="006861CD">
              <w:t xml:space="preserve"> ч.</w:t>
            </w:r>
          </w:p>
          <w:p w:rsidR="00342685" w:rsidRPr="00A77477" w:rsidRDefault="00342685" w:rsidP="00C725EF">
            <w:pPr>
              <w:suppressAutoHyphens/>
              <w:ind w:left="-57" w:right="-57"/>
              <w:contextualSpacing/>
            </w:pPr>
            <w:r>
              <w:t>Заявка № 2017122868, приоритет от 28. 06.17 г.</w:t>
            </w:r>
          </w:p>
        </w:tc>
        <w:tc>
          <w:tcPr>
            <w:tcW w:w="2379" w:type="dxa"/>
          </w:tcPr>
          <w:p w:rsidR="00342685" w:rsidRPr="00A77477" w:rsidRDefault="00342685" w:rsidP="00C725EF">
            <w:pPr>
              <w:suppressAutoHyphens/>
              <w:ind w:right="-60"/>
              <w:jc w:val="center"/>
            </w:pPr>
            <w:r>
              <w:t>Июнь</w:t>
            </w:r>
          </w:p>
        </w:tc>
        <w:tc>
          <w:tcPr>
            <w:tcW w:w="3578" w:type="dxa"/>
          </w:tcPr>
          <w:p w:rsidR="00C04E4B" w:rsidRPr="00C04E4B" w:rsidRDefault="00C04E4B" w:rsidP="00C04E4B">
            <w:pPr>
              <w:rPr>
                <w:bCs/>
              </w:rPr>
            </w:pPr>
            <w:r w:rsidRPr="00C04E4B">
              <w:rPr>
                <w:bCs/>
              </w:rPr>
              <w:t xml:space="preserve">Лаборатория питательных сред </w:t>
            </w:r>
          </w:p>
          <w:p w:rsidR="00C04E4B" w:rsidRPr="00C04E4B" w:rsidRDefault="00C04E4B" w:rsidP="00C04E4B">
            <w:pPr>
              <w:rPr>
                <w:bCs/>
              </w:rPr>
            </w:pPr>
            <w:r w:rsidRPr="00C04E4B">
              <w:rPr>
                <w:bCs/>
              </w:rPr>
              <w:t xml:space="preserve">для культивирования микроорганизмов </w:t>
            </w:r>
          </w:p>
          <w:p w:rsidR="00342685" w:rsidRPr="0097571A" w:rsidRDefault="00C04E4B" w:rsidP="00C04E4B">
            <w:pPr>
              <w:suppressAutoHyphens/>
              <w:ind w:right="-60"/>
              <w:jc w:val="both"/>
              <w:rPr>
                <w:b/>
              </w:rPr>
            </w:pPr>
            <w:r w:rsidRPr="00C04E4B">
              <w:rPr>
                <w:bCs/>
              </w:rPr>
              <w:t>1-4 групп патогенности</w:t>
            </w:r>
            <w:r w:rsidRPr="00C04E4B">
              <w:t>, лаборатория «Коллекция патогенных микроорганизмов»</w:t>
            </w:r>
            <w:r>
              <w:t xml:space="preserve">, </w:t>
            </w:r>
            <w:r w:rsidRPr="00C04E4B">
              <w:t>лаборатория бруцеллеза</w:t>
            </w:r>
          </w:p>
        </w:tc>
      </w:tr>
      <w:tr w:rsidR="00342685" w:rsidRPr="005B67D2" w:rsidTr="00C725EF">
        <w:tc>
          <w:tcPr>
            <w:tcW w:w="620" w:type="dxa"/>
          </w:tcPr>
          <w:p w:rsidR="00342685" w:rsidRPr="00391DE7" w:rsidRDefault="00342685" w:rsidP="00342685">
            <w:pPr>
              <w:numPr>
                <w:ilvl w:val="0"/>
                <w:numId w:val="1"/>
              </w:numPr>
              <w:suppressAutoHyphens/>
              <w:ind w:right="-60"/>
              <w:jc w:val="center"/>
            </w:pPr>
          </w:p>
        </w:tc>
        <w:tc>
          <w:tcPr>
            <w:tcW w:w="4535" w:type="dxa"/>
          </w:tcPr>
          <w:p w:rsidR="00342685" w:rsidRPr="006752EF" w:rsidRDefault="00342685" w:rsidP="00C725EF">
            <w:pPr>
              <w:tabs>
                <w:tab w:val="left" w:pos="0"/>
                <w:tab w:val="left" w:pos="142"/>
              </w:tabs>
              <w:suppressAutoHyphens/>
            </w:pPr>
            <w:r>
              <w:t xml:space="preserve">Подготовка Регистрационного досье на Иммуноглобулины </w:t>
            </w:r>
            <w:r w:rsidRPr="006752EF">
              <w:t xml:space="preserve">диагностические флуоресцирующие бруцеллезные сухие «РИФ-Бру-СтавНИПЧИ» </w:t>
            </w:r>
            <w:r w:rsidRPr="00F17EB0">
              <w:t>(по плану)</w:t>
            </w:r>
          </w:p>
          <w:p w:rsidR="00342685" w:rsidRPr="006752EF" w:rsidRDefault="00342685" w:rsidP="00C725EF">
            <w:pPr>
              <w:tabs>
                <w:tab w:val="left" w:pos="0"/>
                <w:tab w:val="left" w:pos="142"/>
              </w:tabs>
              <w:suppressAutoHyphens/>
              <w:rPr>
                <w:bCs/>
              </w:rPr>
            </w:pPr>
          </w:p>
        </w:tc>
        <w:tc>
          <w:tcPr>
            <w:tcW w:w="4164" w:type="dxa"/>
          </w:tcPr>
          <w:p w:rsidR="00342685" w:rsidRPr="006752EF" w:rsidRDefault="00342685" w:rsidP="00C725EF">
            <w:pPr>
              <w:suppressAutoHyphens/>
              <w:ind w:left="34" w:right="34"/>
            </w:pPr>
            <w:r w:rsidRPr="006752EF">
              <w:t>Представлен пакет нормативных документов  на иммуноглобулины диагностические флуо</w:t>
            </w:r>
            <w:r>
              <w:t xml:space="preserve">ресцирующие бруцеллезные сухие, </w:t>
            </w:r>
            <w:r w:rsidRPr="006752EF">
              <w:t>предназначенные</w:t>
            </w:r>
            <w:r>
              <w:t xml:space="preserve"> </w:t>
            </w:r>
            <w:r w:rsidRPr="006752EF">
              <w:t>для идентификации и качественного определения возбудителей бруцеллеза (</w:t>
            </w:r>
            <w:r w:rsidRPr="006752EF">
              <w:rPr>
                <w:i/>
              </w:rPr>
              <w:t>Brucella melitensis, Brucella abortus, Brucella suis</w:t>
            </w:r>
            <w:r w:rsidRPr="006752EF">
              <w:t xml:space="preserve">) в </w:t>
            </w:r>
            <w:r>
              <w:t>РИФ</w:t>
            </w:r>
            <w:r w:rsidRPr="006752EF">
              <w:t xml:space="preserve"> при исследовании биологического материала и объектов окружающей среды </w:t>
            </w:r>
          </w:p>
        </w:tc>
        <w:tc>
          <w:tcPr>
            <w:tcW w:w="2379" w:type="dxa"/>
          </w:tcPr>
          <w:p w:rsidR="00342685" w:rsidRDefault="00342685" w:rsidP="00C725EF">
            <w:pPr>
              <w:suppressAutoHyphens/>
              <w:ind w:right="-60"/>
              <w:jc w:val="center"/>
            </w:pPr>
            <w:r>
              <w:t>Июнь-июль</w:t>
            </w:r>
          </w:p>
        </w:tc>
        <w:tc>
          <w:tcPr>
            <w:tcW w:w="3578" w:type="dxa"/>
          </w:tcPr>
          <w:p w:rsidR="00C04E4B" w:rsidRPr="00C04E4B" w:rsidRDefault="00C04E4B" w:rsidP="00C04E4B">
            <w:pPr>
              <w:rPr>
                <w:bCs/>
              </w:rPr>
            </w:pPr>
            <w:r w:rsidRPr="00C04E4B">
              <w:rPr>
                <w:bCs/>
              </w:rPr>
              <w:t xml:space="preserve">Научно- производственная лаборатория препаратов для диагностики особо опасных </w:t>
            </w:r>
          </w:p>
          <w:p w:rsidR="00342685" w:rsidRPr="005B67D2" w:rsidRDefault="00C04E4B" w:rsidP="00C04E4B">
            <w:pPr>
              <w:suppressAutoHyphens/>
              <w:ind w:left="-74"/>
              <w:jc w:val="both"/>
            </w:pPr>
            <w:r w:rsidRPr="00C04E4B">
              <w:rPr>
                <w:bCs/>
              </w:rPr>
              <w:t>и других инфекций</w:t>
            </w:r>
          </w:p>
        </w:tc>
      </w:tr>
    </w:tbl>
    <w:p w:rsidR="00523D82" w:rsidRDefault="00523D82"/>
    <w:p w:rsidR="00C04E4B" w:rsidRDefault="00C04E4B">
      <w:r>
        <w:t xml:space="preserve">Руководитель </w:t>
      </w:r>
      <w:r w:rsidRPr="00C04E4B">
        <w:t>Референс-центра</w:t>
      </w:r>
    </w:p>
    <w:p w:rsidR="00C04E4B" w:rsidRDefault="00C04E4B">
      <w:r w:rsidRPr="00C04E4B">
        <w:t xml:space="preserve"> по мониторингу за возбудителем бруцеллеза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Пономаренко</w:t>
      </w:r>
    </w:p>
    <w:sectPr w:rsidR="00C04E4B" w:rsidSect="00342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A9B"/>
    <w:multiLevelType w:val="hybridMultilevel"/>
    <w:tmpl w:val="57D6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92"/>
    <w:rsid w:val="00342685"/>
    <w:rsid w:val="00523D82"/>
    <w:rsid w:val="009D4192"/>
    <w:rsid w:val="00C04E4B"/>
    <w:rsid w:val="00F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4268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426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Patpmorf-2</cp:lastModifiedBy>
  <cp:revision>4</cp:revision>
  <dcterms:created xsi:type="dcterms:W3CDTF">2018-06-13T07:15:00Z</dcterms:created>
  <dcterms:modified xsi:type="dcterms:W3CDTF">2018-06-13T07:40:00Z</dcterms:modified>
</cp:coreProperties>
</file>